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53BE0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Castelul Vrajitoarelor – Satul Rasturnat – Padurea Colorata – Pestera Muierilor</w:t>
      </w:r>
    </w:p>
    <w:p w14:paraId="6096D066" w14:textId="5B5E5BBD" w:rsidR="007117BD" w:rsidRDefault="007117BD" w:rsidP="007117BD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1</w:t>
      </w:r>
      <w:r w:rsidR="00F54F9E">
        <w:rPr>
          <w:rFonts w:asciiTheme="minorHAnsi" w:hAnsiTheme="minorHAnsi" w:cstheme="minorHAnsi"/>
          <w:b/>
          <w:color w:val="F18306"/>
          <w:sz w:val="32"/>
          <w:szCs w:val="32"/>
        </w:rPr>
        <w:t>4</w:t>
      </w:r>
      <w:r>
        <w:rPr>
          <w:rFonts w:asciiTheme="minorHAnsi" w:hAnsiTheme="minorHAnsi" w:cstheme="minorHAnsi"/>
          <w:b/>
          <w:color w:val="F18306"/>
          <w:sz w:val="32"/>
          <w:szCs w:val="32"/>
        </w:rPr>
        <w:t>9 Lei</w:t>
      </w:r>
    </w:p>
    <w:p w14:paraId="4780A7EC" w14:textId="77777777" w:rsidR="00F54F9E" w:rsidRDefault="00F54F9E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4C5B299" w14:textId="3812E24E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Intalnire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insotitor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05:30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din fata ACADEMIEI MILITARE ROMANE (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06:00 pe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–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Bumbesti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Pitic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–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Baia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Fier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7F614D61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Prima oprire va fi la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Castelul Vrajitoarelor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din Poienari, un loc plin de mister, unde fiecare camera spune o poveste magica prin sculpturi impunatoare, obiecte ritualice - papusile voodoo. La doar cativa pasi, avem posibilitatea de a vizita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Satul Rasturnat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un univers cu susul in jos – unde casele sfideaza gravitatia . </w:t>
      </w:r>
    </w:p>
    <w:p w14:paraId="52E26C1C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Dupa aceasta doza de fantezie, ne indreptam catre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 xml:space="preserve">Padurea Colorata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cunoscuta si sub numele de </w:t>
      </w:r>
      <w:r>
        <w:rPr>
          <w:rFonts w:asciiTheme="minorHAnsi" w:hAnsiTheme="minorHAnsi" w:cstheme="minorHAnsi"/>
          <w:i/>
          <w:color w:val="444444"/>
          <w:sz w:val="18"/>
          <w:szCs w:val="18"/>
          <w:lang w:val="it-IT"/>
        </w:rPr>
        <w:t xml:space="preserve">Gradina Paradisului,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un proiect in aer liber ce transmite un mesaj puternic impotriva defrisarilor abuzive. Copacii sunt pictati, folosind vopsea ecologica, in culori vibrante – rosu, galben, verde, albastru, portocaliu.</w:t>
      </w:r>
    </w:p>
    <w:p w14:paraId="535A6156" w14:textId="5D7108AE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Ziua se incheie </w:t>
      </w:r>
      <w:r w:rsidR="00910275">
        <w:rPr>
          <w:rFonts w:asciiTheme="minorHAnsi" w:hAnsiTheme="minorHAnsi" w:cstheme="minorHAnsi"/>
          <w:color w:val="444444"/>
          <w:sz w:val="18"/>
          <w:szCs w:val="18"/>
          <w:lang w:val="it-IT"/>
        </w:rPr>
        <w:t>i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n adancurile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Pesterii Muierilor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una dintre cele mai spectaculoase din Romania. Aici au fost descoperite fragmente de craniu uman vechi de peste 30.000 ani, fosile de ursi, lei, hiene. </w:t>
      </w:r>
    </w:p>
    <w:p w14:paraId="4D55010D" w14:textId="4942521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Vom avea posibilitatea de a admira si artefacte paleolitice care atesta prezenta umana in pestera, formatiunini geologice spectaculoase precum stalactite, stalagmite, coloane si draperii de calcar. Printre cele mai remarcabile structuri se disting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Domul Mic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Candelabrul Mare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Valul Altarului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,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Dantela de Piatr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și 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St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 xml:space="preserve">nca 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I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ns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ngerat</w:t>
      </w:r>
      <w:r w:rsidR="00910275"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a</w:t>
      </w:r>
      <w:r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  <w:t>.</w:t>
      </w:r>
    </w:p>
    <w:p w14:paraId="51161D46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586DE031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7117BD" w14:paraId="442604ED" w14:textId="77777777" w:rsidTr="007117BD">
        <w:trPr>
          <w:trHeight w:val="3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EA8DF" w14:textId="61F282E2" w:rsidR="007117BD" w:rsidRDefault="007117BD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202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12A29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B34BE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HELLO SALES</w:t>
            </w:r>
          </w:p>
          <w:p w14:paraId="23C352AA" w14:textId="6F68D9FD" w:rsidR="007117BD" w:rsidRDefault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31</w:t>
            </w:r>
            <w:r w:rsidR="007117B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5</w:t>
            </w:r>
            <w:r w:rsidR="007117B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6FE21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FIRST MINUTE</w:t>
            </w:r>
          </w:p>
          <w:p w14:paraId="198FFE93" w14:textId="2AD01B09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3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.0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.202</w:t>
            </w:r>
            <w:r w:rsidR="00F54F9E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</w:tr>
      <w:tr w:rsidR="007117BD" w14:paraId="5E67EA77" w14:textId="77777777" w:rsidTr="007117BD">
        <w:trPr>
          <w:trHeight w:val="1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7C26E" w14:textId="5D849E8D" w:rsidR="007117BD" w:rsidRDefault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  <w:t>29.03, 18.10, 31.10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AB0A1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  <w:t>169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26F2F2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  <w:t>149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4306C8" w14:textId="77777777" w:rsidR="007117BD" w:rsidRDefault="007117B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  <w:t>139 Lei</w:t>
            </w:r>
          </w:p>
        </w:tc>
      </w:tr>
      <w:tr w:rsidR="00F54F9E" w14:paraId="36FCE1DD" w14:textId="77777777" w:rsidTr="007117BD">
        <w:trPr>
          <w:trHeight w:val="11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38FDE" w14:textId="04A0861B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</w:pPr>
            <w:r w:rsidRPr="00F54F9E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 w:eastAsia="en-GB"/>
              </w:rPr>
              <w:t>26.04, 09.05, 24.05, 14.06, 27.06, 12.07, 15.08, 05.09, 27.09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FC5C" w14:textId="3FEF5A75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 w:eastAsia="en-GB"/>
              </w:rPr>
              <w:t>179 Lei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81E8D" w14:textId="6818B9AD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 w:eastAsia="en-GB"/>
              </w:rPr>
              <w:t>159 Lei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8EBDB" w14:textId="4256D2BB" w:rsidR="00F54F9E" w:rsidRDefault="00F54F9E" w:rsidP="00F54F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eastAsia="en-GB"/>
              </w:rPr>
              <w:t>149 Lei</w:t>
            </w:r>
          </w:p>
        </w:tc>
      </w:tr>
    </w:tbl>
    <w:p w14:paraId="539ABFD4" w14:textId="77777777" w:rsidR="007117BD" w:rsidRDefault="007117BD" w:rsidP="007117BD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72BE17BB" w14:textId="77777777" w:rsidR="007117BD" w:rsidRDefault="007117BD" w:rsidP="007117BD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1A15A79" w14:textId="77777777" w:rsidR="007117BD" w:rsidRDefault="007117BD" w:rsidP="007117BD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2618790C" w14:textId="77777777" w:rsidR="007117BD" w:rsidRDefault="007117BD" w:rsidP="007117BD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0" w:name="_Hlk91151190"/>
    </w:p>
    <w:p w14:paraId="13E897D5" w14:textId="77777777" w:rsidR="007117BD" w:rsidRDefault="007117BD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3AB16600" w14:textId="77777777" w:rsidR="00F54F9E" w:rsidRDefault="00F54F9E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DFF5E5B" w14:textId="77777777" w:rsidR="00F54F9E" w:rsidRDefault="00F54F9E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048E433F" w14:textId="77777777" w:rsidR="00F54F9E" w:rsidRDefault="00F54F9E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D157685" w14:textId="18D37DD0" w:rsidR="007117BD" w:rsidRDefault="007117BD" w:rsidP="007117BD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 pers.</w:t>
      </w:r>
    </w:p>
    <w:bookmarkEnd w:id="0"/>
    <w:p w14:paraId="1B70ADFD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4CCF80A7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F8753EB" w14:textId="7777777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5AB42A1" w14:textId="276129E7" w:rsidR="007117BD" w:rsidRDefault="007117BD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30B0262" w14:textId="77777777" w:rsidR="009A0097" w:rsidRDefault="009A0097" w:rsidP="009A0097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D248E8"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5915231" w14:textId="77777777" w:rsidR="009A0097" w:rsidRDefault="009A0097" w:rsidP="007117BD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627CF50" w14:textId="77777777" w:rsidR="007117BD" w:rsidRDefault="007117BD" w:rsidP="007117BD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7117BD" w14:paraId="7FCFDD12" w14:textId="77777777" w:rsidTr="007117BD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0490C14" w14:textId="77777777" w:rsidR="007117BD" w:rsidRDefault="007117BD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en-GB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D6110D7" w14:textId="77777777" w:rsidR="007117BD" w:rsidRDefault="007117BD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n-GB"/>
              </w:rPr>
              <w:t xml:space="preserve">NU SUNT INCLUSE IN </w:t>
            </w:r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n-GB"/>
              </w:rPr>
              <w:t>PRET :</w:t>
            </w:r>
            <w:proofErr w:type="gramEnd"/>
          </w:p>
        </w:tc>
      </w:tr>
      <w:tr w:rsidR="007117BD" w14:paraId="7C3DDA83" w14:textId="77777777" w:rsidTr="007117BD">
        <w:trPr>
          <w:trHeight w:val="4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AFD" w14:textId="3EA05171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Transport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cu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autocar</w:t>
            </w:r>
            <w:r w:rsidR="009A0097"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/</w:t>
            </w:r>
            <w:proofErr w:type="spellStart"/>
            <w:r w:rsidR="009A0097"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microbuz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clasificat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;</w:t>
            </w:r>
            <w:proofErr w:type="gramEnd"/>
          </w:p>
          <w:p w14:paraId="7789BB0F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Vizitele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mentionate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in program (nu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includ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biletele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intrare</w:t>
            </w:r>
            <w:proofErr w:type="spellEnd"/>
            <w:proofErr w:type="gram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);</w:t>
            </w:r>
            <w:proofErr w:type="gramEnd"/>
          </w:p>
          <w:p w14:paraId="79DA3804" w14:textId="77777777" w:rsidR="007117BD" w:rsidRDefault="007117BD" w:rsidP="007117BD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Insotitor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grup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din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partea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agentiei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E2D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Asigurare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medicala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/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storno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;</w:t>
            </w:r>
            <w:proofErr w:type="gramEnd"/>
          </w:p>
          <w:p w14:paraId="008F2D68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Intrarile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obiectivele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turistice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si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eventualele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servicii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ghizi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;</w:t>
            </w:r>
            <w:proofErr w:type="gram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</w:p>
          <w:p w14:paraId="0FCDA615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Masa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pranz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;</w:t>
            </w:r>
            <w:proofErr w:type="gram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</w:p>
          <w:p w14:paraId="5F69290D" w14:textId="77777777" w:rsidR="007117BD" w:rsidRDefault="007117BD" w:rsidP="007117BD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Supliment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pentru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locuri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preferentiale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primele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3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randuri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banchete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) – 30 Lei/</w:t>
            </w:r>
            <w:proofErr w:type="gram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pers;</w:t>
            </w:r>
            <w:proofErr w:type="gramEnd"/>
          </w:p>
          <w:p w14:paraId="4A482D57" w14:textId="77777777" w:rsidR="007117BD" w:rsidRDefault="007117BD" w:rsidP="007117BD">
            <w:pPr>
              <w:pStyle w:val="ListParagraph"/>
              <w:numPr>
                <w:ilvl w:val="0"/>
                <w:numId w:val="5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Alte taxe/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servicii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cheltuieli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personale.</w:t>
            </w:r>
          </w:p>
          <w:p w14:paraId="4E004AAE" w14:textId="77777777" w:rsidR="007117BD" w:rsidRDefault="007117BD" w:rsidP="007117BD">
            <w:pPr>
              <w:pStyle w:val="ListParagraph"/>
              <w:numPr>
                <w:ilvl w:val="0"/>
                <w:numId w:val="5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bilete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la : Pestera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Muierilor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– 20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persoana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 ;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Castelul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Vrajitoarelor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– 20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persoana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 ;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Satul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Rasturnat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 xml:space="preserve"> – 20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 w:eastAsia="en-GB"/>
              </w:rPr>
              <w:t>persoana</w:t>
            </w:r>
            <w:proofErr w:type="spellEnd"/>
          </w:p>
        </w:tc>
      </w:tr>
    </w:tbl>
    <w:p w14:paraId="6BF4C39B" w14:textId="77777777" w:rsidR="007117BD" w:rsidRDefault="007117BD" w:rsidP="007117BD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1" w:name="_MailOriginal"/>
      <w:bookmarkStart w:id="2" w:name="_Hlk121230395"/>
      <w:bookmarkStart w:id="3" w:name="_Hlk81548792"/>
    </w:p>
    <w:p w14:paraId="2801006E" w14:textId="77777777" w:rsidR="007117BD" w:rsidRDefault="007117BD" w:rsidP="007117B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1"/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2"/>
        <w:gridCol w:w="2436"/>
        <w:gridCol w:w="940"/>
        <w:gridCol w:w="940"/>
        <w:gridCol w:w="1314"/>
        <w:gridCol w:w="2341"/>
        <w:gridCol w:w="878"/>
        <w:gridCol w:w="922"/>
      </w:tblGrid>
      <w:tr w:rsidR="007117BD" w14:paraId="339D3D27" w14:textId="77777777" w:rsidTr="007117BD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2"/>
          <w:bookmarkEnd w:id="3"/>
          <w:p w14:paraId="497A3DD3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A29487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528E6D3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0D2BCFCC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64CF7FDA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0768B7A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759180A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FC2A34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7EBB5F3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08B019CD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DA7DE0" w14:textId="77777777" w:rsidR="007117BD" w:rsidRDefault="007117BD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671BE14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</w:tr>
      <w:tr w:rsidR="007117BD" w14:paraId="080C0978" w14:textId="77777777" w:rsidTr="007117B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C009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BF4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12CE" w14:textId="5EAA744C" w:rsidR="007117BD" w:rsidRDefault="00F54F9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</w:t>
            </w:r>
            <w:r w:rsidR="007117B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2BDB49A5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0C7F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1789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D3D6" w14:textId="4910AC78" w:rsidR="007117BD" w:rsidRDefault="00F54F9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</w:t>
            </w:r>
            <w:r w:rsidR="007117B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72B7964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700 Ron</w:t>
            </w:r>
          </w:p>
        </w:tc>
      </w:tr>
      <w:tr w:rsidR="007117BD" w14:paraId="1DC1E254" w14:textId="77777777" w:rsidTr="007117B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E994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BA50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9050" w14:textId="6D2C15A1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</w:t>
            </w:r>
            <w:r w:rsidR="00F54F9E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361933A4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7AD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488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227A" w14:textId="06F5001D" w:rsidR="007117BD" w:rsidRDefault="00F54F9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</w:t>
            </w:r>
            <w:r w:rsidR="007117B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BFF5738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800 Ron</w:t>
            </w:r>
          </w:p>
        </w:tc>
      </w:tr>
      <w:tr w:rsidR="007117BD" w14:paraId="14BDBAA1" w14:textId="77777777" w:rsidTr="007117BD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61F8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3C70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6A42" w14:textId="1BEF0366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2</w:t>
            </w:r>
            <w:r w:rsidR="00F54F9E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37FF2A16" w14:textId="77777777" w:rsidR="007117BD" w:rsidRDefault="007117BD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6C1A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00AF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>Benzinaria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 xml:space="preserve"> OMV – Nicolae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>Balcescu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 xml:space="preserve">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E7E2" w14:textId="23370F8C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</w:t>
            </w:r>
            <w:r w:rsidR="00F54F9E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50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02D08652" w14:textId="77777777" w:rsidR="007117BD" w:rsidRDefault="007117BD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</w:tr>
    </w:tbl>
    <w:p w14:paraId="015C5059" w14:textId="77777777" w:rsidR="00F54F9E" w:rsidRDefault="00F54F9E" w:rsidP="007117B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0CA17647" w14:textId="77777777" w:rsidR="00F54F9E" w:rsidRDefault="00F54F9E" w:rsidP="007117B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14347E7D" w14:textId="527FD1D3" w:rsidR="007117BD" w:rsidRDefault="007117BD" w:rsidP="007117BD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plata/anulare - Excursii de 1 zi, sezon 202</w:t>
      </w:r>
      <w:r w:rsidR="00F54F9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3CE5309E" w14:textId="77777777" w:rsidR="007117BD" w:rsidRDefault="007117BD" w:rsidP="007117BD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40% la inscriere, diferenta cu 30 zile inainte de plecare; conditii standard de anulare (safe price) – conform contract de colaborare/de comercializare a pachetelor de servicii turistice.</w:t>
      </w:r>
    </w:p>
    <w:p w14:paraId="3F86E182" w14:textId="77777777" w:rsidR="007117BD" w:rsidRDefault="007117BD" w:rsidP="007117BD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minute/ hello sales; penalizare 100% in caz de anulare.</w:t>
      </w:r>
    </w:p>
    <w:p w14:paraId="222E0767" w14:textId="1AA15807" w:rsidR="00987EC3" w:rsidRPr="007117BD" w:rsidRDefault="00987EC3" w:rsidP="007117BD"/>
    <w:sectPr w:rsidR="00987EC3" w:rsidRPr="007117BD" w:rsidSect="00C801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bookmarkStart w:id="4" w:name="_GoBack"/>
    <w:bookmarkEnd w:id="4"/>
    <w:proofErr w:type="spellStart"/>
    <w:r>
      <w:rPr>
        <w:rFonts w:ascii="Calibri" w:hAnsi="Calibri" w:cs="Calibri"/>
        <w:b/>
        <w:color w:val="002060"/>
        <w:sz w:val="22"/>
        <w:szCs w:val="22"/>
      </w:rPr>
      <w:t>Prezentul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document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este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parte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integrate a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contractului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de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prestari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servicii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>.</w:t>
    </w:r>
  </w:p>
  <w:p w14:paraId="14974AA8" w14:textId="77777777" w:rsidR="00746F14" w:rsidRDefault="00746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E8092" w14:textId="77777777" w:rsidR="00FB4295" w:rsidRDefault="00FB4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20D74DE9" w:rsidR="00BD5731" w:rsidRPr="00BD5731" w:rsidRDefault="00BD5731" w:rsidP="00701213">
    <w:pPr>
      <w:pStyle w:val="Header"/>
      <w:ind w:left="-1440"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D4908" w14:textId="77777777" w:rsidR="00FB4295" w:rsidRDefault="00FB4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A35DC"/>
    <w:rsid w:val="004B19BD"/>
    <w:rsid w:val="004B53FB"/>
    <w:rsid w:val="004C3810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E119B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4931"/>
    <w:rsid w:val="00665F16"/>
    <w:rsid w:val="00670688"/>
    <w:rsid w:val="00680A71"/>
    <w:rsid w:val="00686EB8"/>
    <w:rsid w:val="00690976"/>
    <w:rsid w:val="00692DE9"/>
    <w:rsid w:val="006A771E"/>
    <w:rsid w:val="006B24A5"/>
    <w:rsid w:val="006C6598"/>
    <w:rsid w:val="006D6112"/>
    <w:rsid w:val="006E1976"/>
    <w:rsid w:val="006F21CF"/>
    <w:rsid w:val="006F6753"/>
    <w:rsid w:val="006F7601"/>
    <w:rsid w:val="00701213"/>
    <w:rsid w:val="007116C5"/>
    <w:rsid w:val="007117BD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0275"/>
    <w:rsid w:val="00916FE8"/>
    <w:rsid w:val="00921A6C"/>
    <w:rsid w:val="00940115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A0097"/>
    <w:rsid w:val="009B60BD"/>
    <w:rsid w:val="009D2031"/>
    <w:rsid w:val="009D2F0B"/>
    <w:rsid w:val="009D7721"/>
    <w:rsid w:val="009F2AD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C68AB"/>
    <w:rsid w:val="00ED3595"/>
    <w:rsid w:val="00EE5FAC"/>
    <w:rsid w:val="00F224C0"/>
    <w:rsid w:val="00F23BCC"/>
    <w:rsid w:val="00F26550"/>
    <w:rsid w:val="00F27095"/>
    <w:rsid w:val="00F441CF"/>
    <w:rsid w:val="00F545BE"/>
    <w:rsid w:val="00F54F9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B4295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B34B63-892E-4796-9CBA-599FEC2A0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B8CDC-F607-4298-83CC-E170A221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Laura Fodoreanu</cp:lastModifiedBy>
  <cp:revision>2</cp:revision>
  <cp:lastPrinted>2026-06-08T14:02:00Z</cp:lastPrinted>
  <dcterms:created xsi:type="dcterms:W3CDTF">2026-06-08T14:03:00Z</dcterms:created>
  <dcterms:modified xsi:type="dcterms:W3CDTF">2026-06-08T14:03:00Z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  <property fmtid="{D5CDD505-2E9C-101B-9397-08002B2CF9AE}" pid="3" name="_activity">
    <vt:lpwstr/>
  </property>
</Properties>
</file>